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INTERIOR DESIGNER INVOICE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200"/>
        <w:gridCol w:w="6000"/>
      </w:tblGrid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Your business name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Address and phone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Invoice no. and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Due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Bill to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Customer phone or email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00"/>
        <w:gridCol w:w="1400"/>
        <w:gridCol w:w="800"/>
        <w:gridCol w:w="1600"/>
        <w:gridCol w:w="1800"/>
      </w:tblGrid>
      <w:tr>
        <w:tc>
          <w:tcPr>
            <w:tcW w:w="3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Unit</w:t>
            </w:r>
          </w:p>
        </w:tc>
        <w:tc>
          <w:tcPr>
            <w:tcW w:w="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Design consultation and concept development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project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₹25,000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2D layout and working drawings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room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₹8,000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3D renders (two revisions included)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room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₹6,000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Site supervision visit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visit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₹2,500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Material and vendor coordination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month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₹15,000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Variation order: additional wardrobe design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item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₹7,000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400"/>
        <w:gridCol w:w="1800"/>
      </w:tblGrid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Advance received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Balance due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p>
      <w:r>
        <w:rPr>
          <w:sz w:val="22"/>
        </w:rPr>
        <w:t xml:space="preserve">Terms: Milestone 2 is due on approval of working drawings. Two revisions per render are included; further revisions are charged separately. Vendor costs are billed at actuals.</w:t>
      </w:r>
    </w:p>
    <w:p>
      <w:r>
        <w:rPr>
          <w:sz w:val="18"/>
        </w:rPr>
        <w:t xml:space="preserve">Rates shown are illustrative. Replace them with your own prices.</w:t>
      </w:r>
    </w:p>
    <w:sectPr>
      <w:pgSz w:w="11906" w:h="16838"/>
      <w:pgMar w:top="1134" w:right="1134" w:bottom="1134" w:left="1134" w:header="708" w:footer="708" w:gutter="0"/>
    </w:sectPr>
  </w:body>
</w:document>
</file>